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內文 A"/>
        <w:jc w:val="center"/>
        <w:rPr>
          <w:b w:val="1"/>
          <w:bCs w:val="1"/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雙方合作備忘錄</w:t>
      </w:r>
    </w:p>
    <w:p>
      <w:pPr>
        <w:pStyle w:val="內文 A"/>
        <w:rPr>
          <w:rStyle w:val="頁碼"/>
        </w:rPr>
      </w:pPr>
    </w:p>
    <w:p>
      <w:pPr>
        <w:pStyle w:val="內文 A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立備忘錄人：</w:t>
      </w:r>
    </w:p>
    <w:p>
      <w:pPr>
        <w:pStyle w:val="內文 A"/>
        <w:rPr>
          <w:rStyle w:val="頁碼"/>
        </w:rPr>
      </w:pPr>
      <w:r>
        <w:rPr>
          <w:rFonts w:ascii="Times New Roman" w:hAnsi="Times New Roman"/>
          <w:rtl w:val="0"/>
          <w:lang w:val="en-US"/>
        </w:rPr>
        <w:t>_</w:t>
      </w:r>
      <w:r>
        <w:rPr>
          <w:rFonts w:eastAsia="標楷體" w:hint="eastAsia"/>
          <w:u w:val="single"/>
          <w:rtl w:val="0"/>
          <w:lang w:val="zh-TW" w:eastAsia="zh-TW"/>
        </w:rPr>
        <w:t>米斯數位有限公司</w:t>
      </w:r>
      <w:r>
        <w:rPr>
          <w:rFonts w:ascii="Times New Roman" w:hAnsi="Times New Roman"/>
          <w:u w:val="single"/>
          <w:rtl w:val="0"/>
          <w:lang w:val="en-US"/>
        </w:rPr>
        <w:t xml:space="preserve">   _</w:t>
      </w:r>
      <w:r>
        <w:rPr>
          <w:rFonts w:eastAsia="標楷體" w:hint="eastAsia"/>
          <w:rtl w:val="0"/>
          <w:lang w:val="zh-TW" w:eastAsia="zh-TW"/>
        </w:rPr>
        <w:t>（以下簡稱甲方）</w:t>
      </w:r>
    </w:p>
    <w:p>
      <w:pPr>
        <w:pStyle w:val="內文 A"/>
        <w:rPr>
          <w:rStyle w:val="頁碼"/>
        </w:rPr>
      </w:pPr>
      <w:r>
        <w:rPr>
          <w:rFonts w:ascii="Times New Roman" w:hAnsi="Times New Roman"/>
          <w:u w:val="single"/>
          <w:rtl w:val="0"/>
          <w:lang w:val="en-US"/>
        </w:rPr>
        <w:t xml:space="preserve">                          </w:t>
      </w:r>
      <w:r>
        <w:rPr>
          <w:rFonts w:eastAsia="標楷體" w:hint="eastAsia"/>
          <w:rtl w:val="0"/>
          <w:lang w:val="zh-TW" w:eastAsia="zh-TW"/>
        </w:rPr>
        <w:t>（以下簡稱乙方）</w:t>
      </w:r>
    </w:p>
    <w:p>
      <w:pPr>
        <w:pStyle w:val="內文 A"/>
        <w:ind w:firstLine="480"/>
        <w:rPr>
          <w:rStyle w:val="頁碼"/>
        </w:rPr>
      </w:pPr>
    </w:p>
    <w:p>
      <w:pPr>
        <w:pStyle w:val="內文 A"/>
        <w:ind w:firstLine="480"/>
        <w:rPr>
          <w:rStyle w:val="頁碼"/>
        </w:rPr>
      </w:pPr>
    </w:p>
    <w:p>
      <w:pPr>
        <w:pStyle w:val="內文 A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雙方茲為</w:t>
      </w:r>
      <w:r>
        <w:rPr>
          <w:rFonts w:ascii="Times New Roman" w:hAnsi="Times New Roman"/>
          <w:rtl w:val="0"/>
          <w:lang w:val="en-US"/>
        </w:rPr>
        <w:t>1</w:t>
      </w:r>
      <w:r>
        <w:rPr>
          <w:rFonts w:ascii="Times New Roman" w:hAnsi="Times New Roman"/>
          <w:rtl w:val="0"/>
          <w:lang w:val="zh-TW" w:eastAsia="zh-TW"/>
        </w:rPr>
        <w:t>11</w:t>
      </w:r>
      <w:r>
        <w:rPr>
          <w:rFonts w:eastAsia="標楷體" w:hint="eastAsia"/>
          <w:rtl w:val="0"/>
          <w:lang w:val="zh-TW" w:eastAsia="zh-TW"/>
        </w:rPr>
        <w:t>年</w:t>
      </w:r>
      <w:r>
        <w:rPr>
          <w:rFonts w:eastAsia="標楷體" w:hint="eastAsia"/>
          <w:rtl w:val="0"/>
          <w:lang w:val="zh-TW" w:eastAsia="zh-TW"/>
        </w:rPr>
        <w:t>米斯數位</w:t>
      </w:r>
      <w:r>
        <w:rPr>
          <w:rFonts w:eastAsia="標楷體" w:hint="eastAsia"/>
          <w:rtl w:val="0"/>
          <w:lang w:val="zh-TW" w:eastAsia="zh-TW"/>
        </w:rPr>
        <w:t>有限公司</w:t>
      </w:r>
      <w:r>
        <w:rPr>
          <w:rFonts w:eastAsia="標楷體" w:hint="eastAsia"/>
          <w:rtl w:val="0"/>
          <w:lang w:val="zh-TW" w:eastAsia="zh-TW"/>
        </w:rPr>
        <w:t>開發遊戲化串流</w:t>
      </w:r>
      <w:r>
        <w:rPr>
          <w:rFonts w:eastAsia="標楷體" w:hint="eastAsia"/>
          <w:rtl w:val="0"/>
          <w:lang w:val="zh-TW" w:eastAsia="zh-TW"/>
        </w:rPr>
        <w:t>相關</w:t>
      </w:r>
      <w:r>
        <w:rPr>
          <w:rFonts w:eastAsia="標楷體" w:hint="eastAsia"/>
          <w:rtl w:val="0"/>
          <w:lang w:val="zh-TW" w:eastAsia="zh-TW"/>
        </w:rPr>
        <w:t>行銷</w:t>
      </w:r>
      <w:r>
        <w:rPr>
          <w:rFonts w:eastAsia="標楷體" w:hint="eastAsia"/>
          <w:rtl w:val="0"/>
          <w:lang w:val="zh-TW" w:eastAsia="zh-TW"/>
        </w:rPr>
        <w:t>合作事宜，特議定本合作備忘錄</w:t>
      </w:r>
      <w:r>
        <w:rPr>
          <w:rFonts w:ascii="Times New Roman" w:hAnsi="Times New Roman"/>
          <w:rtl w:val="0"/>
          <w:lang w:val="en-US"/>
        </w:rPr>
        <w:t>(</w:t>
      </w:r>
      <w:r>
        <w:rPr>
          <w:rFonts w:eastAsia="標楷體" w:hint="eastAsia"/>
          <w:rtl w:val="0"/>
          <w:lang w:val="zh-TW" w:eastAsia="zh-TW"/>
        </w:rPr>
        <w:t>以下稱本備忘錄</w:t>
      </w:r>
      <w:r>
        <w:rPr>
          <w:rFonts w:ascii="Times New Roman" w:hAnsi="Times New Roman"/>
          <w:rtl w:val="0"/>
          <w:lang w:val="en-US"/>
        </w:rPr>
        <w:t>)</w:t>
      </w:r>
      <w:r>
        <w:rPr>
          <w:rFonts w:eastAsia="標楷體" w:hint="eastAsia"/>
          <w:rtl w:val="0"/>
          <w:lang w:val="zh-TW" w:eastAsia="zh-TW"/>
        </w:rPr>
        <w:t>，以資遵循，並互負保密義務。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：合作緣起</w:t>
      </w:r>
    </w:p>
    <w:p>
      <w:pPr>
        <w:pStyle w:val="清單段落"/>
        <w:ind w:left="0" w:firstLine="480"/>
        <w:jc w:val="both"/>
        <w:rPr>
          <w:rFonts w:ascii="Times New Roman" w:cs="Times New Roman" w:hAnsi="Times New Roman" w:eastAsia="Times New Roman"/>
        </w:rPr>
      </w:pPr>
      <w:r>
        <w:rPr>
          <w:rFonts w:eastAsia="標楷體" w:hint="eastAsia"/>
          <w:rtl w:val="0"/>
          <w:lang w:val="zh-TW" w:eastAsia="zh-TW"/>
        </w:rPr>
        <w:t>米斯數位</w:t>
      </w:r>
      <w:r>
        <w:rPr>
          <w:rFonts w:eastAsia="標楷體" w:hint="eastAsia"/>
          <w:rtl w:val="0"/>
          <w:lang w:val="zh-TW" w:eastAsia="zh-TW"/>
        </w:rPr>
        <w:t>有限公司，為</w:t>
      </w:r>
      <w:r>
        <w:rPr>
          <w:rFonts w:eastAsia="標楷體" w:hint="eastAsia"/>
          <w:rtl w:val="0"/>
          <w:lang w:val="zh-TW" w:eastAsia="zh-TW"/>
        </w:rPr>
        <w:t>研發雲端遊戲結合物聯網應用平台</w:t>
      </w:r>
      <w:r>
        <w:rPr>
          <w:rFonts w:eastAsia="標楷體" w:hint="eastAsia"/>
          <w:rtl w:val="0"/>
          <w:lang w:val="zh-TW" w:eastAsia="zh-TW"/>
        </w:rPr>
        <w:t>，擬集結</w:t>
      </w:r>
      <w:r>
        <w:rPr>
          <w:rFonts w:eastAsia="標楷體" w:hint="eastAsia"/>
          <w:rtl w:val="0"/>
          <w:lang w:val="zh-TW" w:eastAsia="zh-TW"/>
        </w:rPr>
        <w:t>遊戲及資訊業</w:t>
      </w:r>
      <w:r>
        <w:rPr>
          <w:rFonts w:eastAsia="標楷體" w:hint="eastAsia"/>
          <w:rtl w:val="0"/>
          <w:lang w:val="zh-TW" w:eastAsia="zh-TW"/>
        </w:rPr>
        <w:t>研發能量，整合技術創新，提供產學</w:t>
      </w:r>
      <w:r>
        <w:rPr>
          <w:rFonts w:eastAsia="標楷體" w:hint="eastAsia"/>
          <w:rtl w:val="0"/>
          <w:lang w:val="zh-TW" w:eastAsia="zh-TW"/>
        </w:rPr>
        <w:t>及跨業</w:t>
      </w:r>
      <w:r>
        <w:rPr>
          <w:rFonts w:eastAsia="標楷體" w:hint="eastAsia"/>
          <w:rtl w:val="0"/>
          <w:lang w:val="zh-TW" w:eastAsia="zh-TW"/>
        </w:rPr>
        <w:t>合作之商業模式，期望透過</w:t>
      </w:r>
      <w:r>
        <w:rPr>
          <w:rFonts w:eastAsia="標楷體" w:hint="eastAsia"/>
          <w:rtl w:val="0"/>
          <w:lang w:val="zh-TW" w:eastAsia="zh-TW"/>
        </w:rPr>
        <w:t>專門性研討會議</w:t>
      </w:r>
      <w:r>
        <w:rPr>
          <w:rFonts w:eastAsia="標楷體" w:hint="eastAsia"/>
          <w:rtl w:val="0"/>
          <w:lang w:val="zh-TW" w:eastAsia="zh-TW"/>
        </w:rPr>
        <w:t>，採用</w:t>
      </w:r>
      <w:r>
        <w:rPr>
          <w:rFonts w:eastAsia="標楷體" w:hint="eastAsia"/>
          <w:rtl w:val="0"/>
          <w:lang w:val="zh-TW" w:eastAsia="zh-TW"/>
        </w:rPr>
        <w:t>案例共同實作</w:t>
      </w:r>
      <w:r>
        <w:rPr>
          <w:rFonts w:eastAsia="標楷體" w:hint="eastAsia"/>
          <w:rtl w:val="0"/>
          <w:lang w:val="zh-TW" w:eastAsia="zh-TW"/>
        </w:rPr>
        <w:t>模式，利用開放式創新激發研發能量，進而</w:t>
      </w:r>
      <w:r>
        <w:rPr>
          <w:rFonts w:eastAsia="標楷體" w:hint="eastAsia"/>
          <w:rtl w:val="0"/>
          <w:lang w:val="zh-TW" w:eastAsia="zh-TW"/>
        </w:rPr>
        <w:t>尋找相關</w:t>
      </w:r>
      <w:r>
        <w:rPr>
          <w:rFonts w:eastAsia="標楷體" w:hint="eastAsia"/>
          <w:rtl w:val="0"/>
          <w:lang w:val="zh-TW" w:eastAsia="zh-TW"/>
        </w:rPr>
        <w:t>產業相關技術創新之附加價值與國際競爭力，雙方同意合作研提</w:t>
      </w:r>
      <w:r>
        <w:rPr>
          <w:rFonts w:ascii="Calibri" w:hAnsi="Calibri"/>
          <w:rtl w:val="0"/>
          <w:lang w:val="en-US"/>
        </w:rPr>
        <w:t>1</w:t>
      </w:r>
      <w:r>
        <w:rPr>
          <w:rFonts w:ascii="Calibri" w:hAnsi="Calibri"/>
          <w:rtl w:val="0"/>
          <w:lang w:val="zh-TW" w:eastAsia="zh-TW"/>
        </w:rPr>
        <w:t>11</w:t>
      </w:r>
      <w:r>
        <w:rPr>
          <w:rFonts w:eastAsia="標楷體" w:hint="eastAsia"/>
          <w:rtl w:val="0"/>
          <w:lang w:val="zh-TW" w:eastAsia="zh-TW"/>
        </w:rPr>
        <w:t>年</w:t>
      </w:r>
      <w:r>
        <w:rPr>
          <w:rFonts w:eastAsia="標楷體" w:hint="eastAsia"/>
          <w:rtl w:val="0"/>
          <w:lang w:val="zh-TW" w:eastAsia="zh-TW"/>
        </w:rPr>
        <w:t>開發合作</w:t>
      </w:r>
      <w:r>
        <w:rPr>
          <w:rFonts w:eastAsia="標楷體" w:hint="eastAsia"/>
          <w:rtl w:val="0"/>
          <w:lang w:val="zh-TW" w:eastAsia="zh-TW"/>
        </w:rPr>
        <w:t>案，特簽訂本備忘錄。</w:t>
      </w:r>
    </w:p>
    <w:p>
      <w:pPr>
        <w:pStyle w:val="內文 A"/>
        <w:jc w:val="both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：合作內容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</w:rPr>
      </w:pPr>
    </w:p>
    <w:p>
      <w:pPr>
        <w:pStyle w:val="內文 A"/>
        <w:spacing w:line="280" w:lineRule="atLeast"/>
        <w:ind w:left="1680" w:hanging="1200"/>
        <w:jc w:val="both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甲方：</w:t>
      </w:r>
      <w:r>
        <w:rPr>
          <w:rFonts w:ascii="Times New Roman" w:hAnsi="Times New Roman"/>
          <w:rtl w:val="0"/>
          <w:lang w:val="en-US"/>
        </w:rPr>
        <w:t>__</w:t>
      </w:r>
      <w:r>
        <w:rPr>
          <w:rFonts w:eastAsia="標楷體" w:hint="eastAsia"/>
          <w:u w:val="single"/>
          <w:rtl w:val="0"/>
          <w:lang w:val="zh-TW" w:eastAsia="zh-TW"/>
        </w:rPr>
        <w:t>米斯數位有限公司</w:t>
      </w:r>
      <w:r>
        <w:rPr>
          <w:rFonts w:ascii="標楷體" w:hAnsi="標楷體"/>
          <w:u w:val="single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__</w:t>
      </w:r>
    </w:p>
    <w:p>
      <w:pPr>
        <w:pStyle w:val="內文 A"/>
        <w:spacing w:line="280" w:lineRule="atLeast"/>
        <w:ind w:left="1680" w:hanging="1200"/>
        <w:jc w:val="both"/>
        <w:rPr>
          <w:u w:val="single"/>
        </w:rPr>
      </w:pPr>
      <w:r>
        <w:rPr>
          <w:rFonts w:eastAsia="標楷體" w:hint="eastAsia"/>
          <w:rtl w:val="0"/>
          <w:lang w:val="zh-TW" w:eastAsia="zh-TW"/>
        </w:rPr>
        <w:t>乙方：</w:t>
      </w:r>
      <w:r>
        <w:rPr>
          <w:rFonts w:ascii="Times New Roman" w:hAnsi="Times New Roman"/>
          <w:u w:val="single"/>
          <w:rtl w:val="0"/>
          <w:lang w:val="en-US"/>
        </w:rPr>
        <w:t xml:space="preserve">                           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</w:rPr>
      </w:pPr>
    </w:p>
    <w:p>
      <w:pPr>
        <w:pStyle w:val="內文 A"/>
        <w:spacing w:line="280" w:lineRule="atLeast"/>
        <w:ind w:left="960" w:hanging="48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雙方合作細節將另行協議簽訂合約。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：保密協定</w:t>
      </w:r>
    </w:p>
    <w:p>
      <w:pPr>
        <w:pStyle w:val="內文 A"/>
        <w:rPr>
          <w:rStyle w:val="頁碼"/>
        </w:rPr>
      </w:pPr>
    </w:p>
    <w:p>
      <w:pPr>
        <w:pStyle w:val="內文 A"/>
        <w:spacing w:line="280" w:lineRule="atLeast"/>
        <w:ind w:left="960" w:hanging="48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一、本條所稱之「機密資訊」係指：揭露資訊之一方（揭露方）明文標示或經口頭指定為機密，或於各種情況下應當認定為機密資訊之各類資訊、文件或物品（包括但不限於基於本合作事宜由甲方所提供之軟體、雙方討論之合作內容、合作條件以及所取得或持有參與成員要求保密之所有資料與資訊。）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二、未經揭露方事先書面同意，接受資訊之一方（接受方）不得洩露前項之機密資訊於第三者，或私自複製及運作於其它作業，該等保密義務於本備忘錄失效或終止後亦同。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三、揭露方向接受方揭露之「機密資訊」，其所有權、專利權、著作權、營業秘密或技術秘竅（</w:t>
      </w:r>
      <w:r>
        <w:rPr>
          <w:rFonts w:ascii="Times New Roman" w:hAnsi="Times New Roman"/>
          <w:rtl w:val="0"/>
          <w:lang w:val="en-US"/>
        </w:rPr>
        <w:t>KNOW-HOW</w:t>
      </w:r>
      <w:r>
        <w:rPr>
          <w:rFonts w:eastAsia="標楷體" w:hint="eastAsia"/>
          <w:rtl w:val="0"/>
          <w:lang w:val="zh-TW" w:eastAsia="zh-TW"/>
        </w:rPr>
        <w:t>）係揭露方或其原授權人所有，接受方不得據為己有而申請專利權、著作權等其他智慧財產權，或使第三人申請前述權利。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四、接受方成員因可歸責於已之事由，違反本條款之規定致揭露方受有損害者，收受方應負賠償責任。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五、本條義務於本備忘錄屆期或終止後仍然有效，且接受方應依揭露方之要求銷毀或返還機密文件、物品、設備，不留存任何備份。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：智慧財產權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一、雙方除另有書面同意外，不因本合作關係而當然授權或讓予任何專利權、著作權、商標、營業秘密、技術秘竅（</w:t>
      </w:r>
      <w:r>
        <w:rPr>
          <w:rFonts w:ascii="Times New Roman" w:hAnsi="Times New Roman"/>
          <w:rtl w:val="0"/>
          <w:lang w:val="en-US"/>
        </w:rPr>
        <w:t>KNOW-HOW</w:t>
      </w:r>
      <w:r>
        <w:rPr>
          <w:rFonts w:eastAsia="標楷體" w:hint="eastAsia"/>
          <w:rtl w:val="0"/>
          <w:lang w:val="zh-TW" w:eastAsia="zh-TW"/>
        </w:rPr>
        <w:t>）、其他智慧財產權或其他財產權予他方。</w:t>
      </w:r>
    </w:p>
    <w:p>
      <w:pPr>
        <w:pStyle w:val="內文 A"/>
        <w:spacing w:line="280" w:lineRule="atLeast"/>
        <w:ind w:left="960" w:hanging="48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二、雙方保證其所提供之文件資訊絕無侵害任何第三人之智慧財產權，任一方因使用前述之文件資訊而導致被訴或被請求時，由可歸責之一方負責賠償（包括但不限於律師費、經判決確定之訴訟費與他方因此所受之損失）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：效力</w:t>
      </w:r>
    </w:p>
    <w:p>
      <w:pPr>
        <w:pStyle w:val="內文 A"/>
        <w:spacing w:line="280" w:lineRule="atLeast"/>
        <w:ind w:left="480" w:firstLine="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本備忘錄之有效期間自簽約日起生效，除因第六條終止本備忘錄外，於生效日起三個月內，雙方如未能議定正式合約，本備忘錄即失其效力。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：終止</w:t>
      </w:r>
    </w:p>
    <w:p>
      <w:pPr>
        <w:pStyle w:val="內文 A"/>
        <w:spacing w:line="280" w:lineRule="atLeast"/>
        <w:ind w:left="480" w:firstLine="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任一方擬終止本備忘錄，應於十五日前以書面通知他方，惟本備忘錄終止後，並不影響第三條與第四條之效力。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：費用與責任分擔方式</w:t>
      </w:r>
    </w:p>
    <w:p>
      <w:pPr>
        <w:pStyle w:val="內文 A"/>
        <w:spacing w:line="280" w:lineRule="atLeast"/>
        <w:ind w:left="480" w:firstLine="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在本備忘錄有效期間內，任一方對於因可歸責於己之事由所發生的經費與責任，均應自行負擔。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：爭議解決方式</w:t>
      </w:r>
    </w:p>
    <w:p>
      <w:pPr>
        <w:pStyle w:val="內文 A"/>
        <w:spacing w:line="280" w:lineRule="atLeast"/>
        <w:ind w:left="480" w:firstLine="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本備忘錄未定事宜，雙方應本誠信原則及商業習慣共同協議解決，若仍有未盡事宜，依中華民國法律處理之。如因本備忘錄爭議涉訟時，應以台灣台北地方法院為第一審管轄法院。</w:t>
      </w:r>
    </w:p>
    <w:p>
      <w:pPr>
        <w:pStyle w:val="內文 A"/>
        <w:rPr>
          <w:rStyle w:val="頁碼"/>
        </w:rPr>
      </w:pPr>
    </w:p>
    <w:p>
      <w:pPr>
        <w:pStyle w:val="內文 A"/>
        <w:numPr>
          <w:ilvl w:val="0"/>
          <w:numId w:val="2"/>
        </w:numPr>
        <w:bidi w:val="0"/>
        <w:ind w:right="0"/>
        <w:jc w:val="left"/>
        <w:rPr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：附則</w:t>
      </w:r>
    </w:p>
    <w:p>
      <w:pPr>
        <w:pStyle w:val="內文 A"/>
        <w:spacing w:line="280" w:lineRule="atLeast"/>
        <w:ind w:left="480" w:firstLine="0"/>
        <w:jc w:val="both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本備忘錄一式二份，由雙方各執正本一份。</w:t>
      </w:r>
    </w:p>
    <w:p>
      <w:pPr>
        <w:pStyle w:val="內文 A"/>
        <w:rPr>
          <w:rStyle w:val="頁碼"/>
        </w:rPr>
      </w:pPr>
    </w:p>
    <w:p>
      <w:pPr>
        <w:pStyle w:val="內文 A"/>
        <w:rPr>
          <w:rStyle w:val="頁碼"/>
        </w:rPr>
      </w:pPr>
    </w:p>
    <w:p>
      <w:pPr>
        <w:pStyle w:val="內文 A"/>
        <w:rPr>
          <w:rStyle w:val="頁碼"/>
        </w:rPr>
      </w:pPr>
    </w:p>
    <w:p>
      <w:pPr>
        <w:pStyle w:val="內文 A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立備忘錄人</w:t>
      </w:r>
    </w:p>
    <w:p>
      <w:pPr>
        <w:pStyle w:val="內文 A"/>
        <w:rPr>
          <w:u w:val="single"/>
          <w:lang w:val="zh-TW" w:eastAsia="zh-TW"/>
        </w:rPr>
      </w:pPr>
      <w:r>
        <w:rPr>
          <w:rFonts w:eastAsia="標楷體" w:hint="eastAsia"/>
          <w:u w:val="single"/>
          <w:rtl w:val="0"/>
          <w:lang w:val="zh-TW" w:eastAsia="zh-TW"/>
        </w:rPr>
        <w:t>米斯數位</w:t>
      </w:r>
      <w:r>
        <w:rPr>
          <w:rFonts w:eastAsia="標楷體" w:hint="eastAsia"/>
          <w:u w:val="single"/>
          <w:rtl w:val="0"/>
          <w:lang w:val="zh-TW" w:eastAsia="zh-TW"/>
        </w:rPr>
        <w:t>有限公司</w:t>
      </w:r>
    </w:p>
    <w:p>
      <w:pPr>
        <w:pStyle w:val="內文 A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聯  絡  人：</w:t>
      </w:r>
      <w:r>
        <w:rPr>
          <w:rFonts w:eastAsia="標楷體" w:hint="eastAsia"/>
          <w:u w:val="single"/>
          <w:rtl w:val="0"/>
          <w:lang w:val="zh-TW" w:eastAsia="zh-TW"/>
        </w:rPr>
        <w:t>研發部</w:t>
      </w:r>
      <w:r>
        <w:rPr>
          <w:rFonts w:ascii="標楷體" w:hAnsi="標楷體"/>
          <w:u w:val="single"/>
          <w:rtl w:val="0"/>
          <w:lang w:val="en-US"/>
        </w:rPr>
        <w:t>/</w:t>
      </w:r>
      <w:r>
        <w:rPr>
          <w:rFonts w:eastAsia="標楷體" w:hint="eastAsia"/>
          <w:u w:val="single"/>
          <w:rtl w:val="0"/>
          <w:lang w:val="zh-TW" w:eastAsia="zh-TW"/>
        </w:rPr>
        <w:t>黃</w:t>
      </w:r>
      <w:r>
        <w:rPr>
          <w:rFonts w:eastAsia="標楷體" w:hint="eastAsia"/>
          <w:u w:val="single"/>
          <w:rtl w:val="0"/>
          <w:lang w:val="zh-TW" w:eastAsia="zh-TW"/>
        </w:rPr>
        <w:t>智偉</w:t>
      </w:r>
      <w:r>
        <w:rPr>
          <w:rFonts w:ascii="標楷體" w:hAnsi="標楷體"/>
          <w:u w:val="single"/>
          <w:rtl w:val="0"/>
          <w:lang w:val="en-US"/>
        </w:rPr>
        <w:t xml:space="preserve">      </w:t>
      </w:r>
      <w:r>
        <w:rPr>
          <w:rFonts w:ascii="Times New Roman" w:hAnsi="Times New Roman"/>
          <w:u w:val="single"/>
          <w:rtl w:val="0"/>
          <w:lang w:val="en-US"/>
        </w:rPr>
        <w:t xml:space="preserve">         </w:t>
      </w:r>
    </w:p>
    <w:p>
      <w:pPr>
        <w:pStyle w:val="內文 A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地      址：桃園市平鎮區宋屋里新光路二段</w:t>
      </w:r>
      <w:r>
        <w:rPr>
          <w:rFonts w:ascii="標楷體" w:hAnsi="標楷體"/>
          <w:rtl w:val="0"/>
          <w:lang w:val="zh-TW" w:eastAsia="zh-TW"/>
        </w:rPr>
        <w:t>8</w:t>
      </w:r>
      <w:r>
        <w:rPr>
          <w:rFonts w:eastAsia="標楷體" w:hint="eastAsia"/>
          <w:rtl w:val="0"/>
          <w:lang w:val="zh-TW" w:eastAsia="zh-TW"/>
        </w:rPr>
        <w:t>巷</w:t>
      </w:r>
      <w:r>
        <w:rPr>
          <w:rFonts w:ascii="標楷體" w:hAnsi="標楷體"/>
          <w:rtl w:val="0"/>
          <w:lang w:val="zh-TW" w:eastAsia="zh-TW"/>
        </w:rPr>
        <w:t>86</w:t>
      </w:r>
      <w:r>
        <w:rPr>
          <w:rFonts w:eastAsia="標楷體" w:hint="eastAsia"/>
          <w:rtl w:val="0"/>
          <w:lang w:val="zh-TW" w:eastAsia="zh-TW"/>
        </w:rPr>
        <w:t>號</w:t>
      </w:r>
    </w:p>
    <w:p>
      <w:pPr>
        <w:pStyle w:val="內文 A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聯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eastAsia="標楷體" w:hint="eastAsia"/>
          <w:rtl w:val="0"/>
          <w:lang w:val="zh-TW" w:eastAsia="zh-TW"/>
        </w:rPr>
        <w:t>絡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eastAsia="標楷體" w:hint="eastAsia"/>
          <w:rtl w:val="0"/>
          <w:lang w:val="zh-TW" w:eastAsia="zh-TW"/>
        </w:rPr>
        <w:t>電話：</w:t>
      </w:r>
      <w:r>
        <w:rPr>
          <w:rFonts w:ascii="Times New Roman" w:hAnsi="Times New Roman"/>
          <w:rtl w:val="0"/>
          <w:lang w:val="en-US"/>
        </w:rPr>
        <w:t>(0</w:t>
      </w:r>
      <w:r>
        <w:rPr>
          <w:rFonts w:ascii="Times New Roman" w:hAnsi="Times New Roman"/>
          <w:rtl w:val="0"/>
          <w:lang w:val="zh-TW" w:eastAsia="zh-TW"/>
        </w:rPr>
        <w:t>3</w:t>
      </w:r>
      <w:r>
        <w:rPr>
          <w:rFonts w:ascii="Times New Roman" w:hAnsi="Times New Roman"/>
          <w:rtl w:val="0"/>
          <w:lang w:val="en-US"/>
        </w:rPr>
        <w:t>)</w:t>
      </w:r>
      <w:r>
        <w:rPr>
          <w:rFonts w:ascii="Times New Roman" w:hAnsi="Times New Roman"/>
          <w:rtl w:val="0"/>
          <w:lang w:val="zh-TW" w:eastAsia="zh-TW"/>
        </w:rPr>
        <w:t xml:space="preserve">420 </w:t>
      </w:r>
      <w:r>
        <w:rPr>
          <w:rFonts w:ascii="Times New Roman" w:hAnsi="Times New Roman"/>
          <w:rtl w:val="0"/>
          <w:lang w:val="en-US"/>
        </w:rPr>
        <w:t>-</w:t>
      </w:r>
      <w:r>
        <w:rPr>
          <w:rFonts w:ascii="Times New Roman" w:hAnsi="Times New Roman"/>
          <w:rtl w:val="0"/>
          <w:lang w:val="zh-TW" w:eastAsia="zh-TW"/>
        </w:rPr>
        <w:t xml:space="preserve"> 2092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內文 A"/>
        <w:rPr>
          <w:rStyle w:val="頁碼"/>
        </w:rPr>
      </w:pPr>
    </w:p>
    <w:p>
      <w:pPr>
        <w:pStyle w:val="內文 A"/>
        <w:rPr>
          <w:u w:val="single"/>
          <w:lang w:val="zh-TW" w:eastAsia="zh-TW"/>
        </w:rPr>
      </w:pPr>
      <w:r>
        <w:rPr>
          <w:rFonts w:eastAsia="標楷體" w:hint="eastAsia"/>
          <w:u w:val="single"/>
          <w:rtl w:val="0"/>
          <w:lang w:val="zh-TW" w:eastAsia="zh-TW"/>
        </w:rPr>
        <w:t>合作</w:t>
      </w:r>
      <w:r>
        <w:rPr>
          <w:rFonts w:eastAsia="標楷體" w:hint="eastAsia"/>
          <w:u w:val="single"/>
          <w:rtl w:val="0"/>
          <w:lang w:val="zh-TW" w:eastAsia="zh-TW"/>
        </w:rPr>
        <w:t xml:space="preserve">單位             </w:t>
      </w:r>
    </w:p>
    <w:p>
      <w:pPr>
        <w:pStyle w:val="內文 A"/>
        <w:rPr>
          <w:rStyle w:val="頁碼"/>
        </w:rPr>
      </w:pPr>
      <w:r>
        <w:rPr>
          <w:rFonts w:ascii="Times New Roman" w:hAnsi="Times New Roman"/>
          <w:u w:val="single"/>
          <w:rtl w:val="0"/>
          <w:lang w:val="en-US"/>
        </w:rPr>
        <w:t xml:space="preserve">                                                   </w:t>
      </w:r>
    </w:p>
    <w:p>
      <w:pPr>
        <w:pStyle w:val="內文 A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地      址：</w:t>
      </w:r>
    </w:p>
    <w:p>
      <w:pPr>
        <w:pStyle w:val="內文 A"/>
        <w:rPr>
          <w:rStyle w:val="頁碼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聯  絡  人：</w:t>
      </w:r>
    </w:p>
    <w:p>
      <w:pPr>
        <w:pStyle w:val="內文 A"/>
        <w:rPr>
          <w:rStyle w:val="頁碼"/>
        </w:rPr>
      </w:pPr>
      <w:r>
        <w:rPr>
          <w:rFonts w:eastAsia="標楷體" w:hint="eastAsia"/>
          <w:rtl w:val="0"/>
          <w:lang w:val="zh-TW" w:eastAsia="zh-TW"/>
        </w:rPr>
        <w:t>聯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eastAsia="標楷體" w:hint="eastAsia"/>
          <w:rtl w:val="0"/>
          <w:lang w:val="zh-TW" w:eastAsia="zh-TW"/>
        </w:rPr>
        <w:t>絡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eastAsia="標楷體" w:hint="eastAsia"/>
          <w:rtl w:val="0"/>
          <w:lang w:val="zh-TW" w:eastAsia="zh-TW"/>
        </w:rPr>
        <w:t>電話：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內文 A"/>
        <w:rPr>
          <w:rStyle w:val="頁碼"/>
        </w:rPr>
      </w:pPr>
    </w:p>
    <w:p>
      <w:pPr>
        <w:pStyle w:val="內文 A"/>
        <w:rPr>
          <w:rStyle w:val="頁碼"/>
        </w:rPr>
      </w:pPr>
    </w:p>
    <w:p>
      <w:pPr>
        <w:pStyle w:val="內文 A"/>
        <w:jc w:val="center"/>
        <w:rPr>
          <w:rStyle w:val="頁碼"/>
          <w:rFonts w:ascii="標楷體" w:cs="標楷體" w:hAnsi="標楷體" w:eastAsia="標楷體"/>
        </w:rPr>
      </w:pPr>
    </w:p>
    <w:p>
      <w:pPr>
        <w:pStyle w:val="內文 A"/>
        <w:jc w:val="center"/>
      </w:pPr>
      <w:r>
        <w:rPr>
          <w:rFonts w:eastAsia="標楷體" w:hint="eastAsia"/>
          <w:rtl w:val="0"/>
          <w:lang w:val="zh-TW" w:eastAsia="zh-TW"/>
        </w:rPr>
        <w:t>中華民國一一一年九月二十日</w:t>
      </w:r>
    </w:p>
    <w:sectPr>
      <w:headerReference w:type="default" r:id="rId4"/>
      <w:footerReference w:type="default" r:id="rId5"/>
      <w:pgSz w:w="11900" w:h="16840" w:orient="portrait"/>
      <w:pgMar w:top="1465" w:right="1797" w:bottom="1302" w:left="179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  <w:font w:name="標楷體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尾"/>
      <w:tabs>
        <w:tab w:val="center" w:pos="856"/>
        <w:tab w:val="right" w:pos="1086"/>
        <w:tab w:val="clear" w:pos="4153"/>
        <w:tab w:val="clear" w:pos="8306"/>
      </w:tabs>
      <w:ind w:right="360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輸入樣式 1"/>
  </w:abstractNum>
  <w:abstractNum w:abstractNumId="1">
    <w:multiLevelType w:val="hybridMultilevel"/>
    <w:styleLink w:val="已輸入樣式 1"/>
    <w:lvl w:ilvl="0">
      <w:start w:val="1"/>
      <w:numFmt w:val="ideographDigital"/>
      <w:suff w:val="tab"/>
      <w:lvlText w:val="%1."/>
      <w:lvlJc w:val="left"/>
      <w:pPr>
        <w:ind w:left="9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tab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60"/>
        </w:tabs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left" w:pos="9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60"/>
        </w:tabs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left" w:pos="9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60"/>
        </w:tabs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TC Regular" w:cs="Arial Unicode MS" w:hAnsi="PingFang T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頁尾">
    <w:name w:val="頁尾"/>
    <w:next w:val="頁尾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頁碼">
    <w:name w:val="頁碼"/>
  </w:style>
  <w:style w:type="numbering" w:styleId="已輸入樣式 1">
    <w:name w:val="已輸入樣式 1"/>
    <w:pPr>
      <w:numPr>
        <w:numId w:val="1"/>
      </w:numPr>
    </w:pPr>
  </w:style>
  <w:style w:type="paragraph" w:styleId="清單段落">
    <w:name w:val="清單段落"/>
    <w:next w:val="清單段落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